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C9" w:rsidRDefault="00C818F3" w:rsidP="00C508C9">
      <w:pPr>
        <w:pStyle w:val="Nadpis1"/>
        <w:spacing w:before="0"/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</w:p>
    <w:p w:rsidR="00C508C9" w:rsidRDefault="00C508C9" w:rsidP="00C508C9">
      <w:pPr>
        <w:pStyle w:val="Nadpis1"/>
        <w:spacing w:before="0"/>
        <w:jc w:val="center"/>
        <w:rPr>
          <w:b/>
          <w:color w:val="auto"/>
        </w:rPr>
      </w:pPr>
      <w:r w:rsidRPr="00AD4554">
        <w:rPr>
          <w:b/>
          <w:color w:val="auto"/>
        </w:rPr>
        <w:t xml:space="preserve">Směrnice </w:t>
      </w:r>
      <w:r>
        <w:rPr>
          <w:b/>
          <w:color w:val="auto"/>
        </w:rPr>
        <w:t>Biskupského gymnázia, církevní základní školy, mateřské školy</w:t>
      </w:r>
    </w:p>
    <w:p w:rsidR="00C508C9" w:rsidRDefault="00C508C9" w:rsidP="00C508C9">
      <w:pPr>
        <w:pStyle w:val="Nadpis1"/>
        <w:spacing w:before="0"/>
        <w:jc w:val="center"/>
        <w:rPr>
          <w:b/>
          <w:color w:val="auto"/>
        </w:rPr>
      </w:pPr>
      <w:r>
        <w:rPr>
          <w:b/>
          <w:color w:val="auto"/>
        </w:rPr>
        <w:t xml:space="preserve">a základní umělecké školy Hradec Králové </w:t>
      </w:r>
      <w:r w:rsidRPr="00AD4554">
        <w:rPr>
          <w:b/>
          <w:color w:val="auto"/>
        </w:rPr>
        <w:t>k prevenci zneužívání dětí</w:t>
      </w:r>
    </w:p>
    <w:p w:rsidR="00C508C9" w:rsidRPr="00AD4554" w:rsidRDefault="00C508C9" w:rsidP="00C508C9">
      <w:pPr>
        <w:pStyle w:val="Nadpis1"/>
        <w:spacing w:before="0"/>
        <w:jc w:val="center"/>
        <w:rPr>
          <w:b/>
          <w:color w:val="auto"/>
        </w:rPr>
      </w:pPr>
      <w:r w:rsidRPr="00AD4554">
        <w:rPr>
          <w:b/>
          <w:color w:val="auto"/>
        </w:rPr>
        <w:t>a mladistvých</w:t>
      </w:r>
      <w:r>
        <w:rPr>
          <w:b/>
          <w:color w:val="auto"/>
        </w:rPr>
        <w:t xml:space="preserve"> v organizaci</w:t>
      </w:r>
    </w:p>
    <w:p w:rsidR="00C508C9" w:rsidRPr="00C508C9" w:rsidRDefault="00C508C9" w:rsidP="00C508C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</w:p>
    <w:p w:rsidR="00C508C9" w:rsidRPr="00B00405" w:rsidRDefault="00C508C9" w:rsidP="00C508C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  <w:b/>
          <w:color w:val="000000"/>
          <w:sz w:val="18"/>
          <w:szCs w:val="18"/>
        </w:rPr>
      </w:pPr>
      <w:r w:rsidRPr="00B00405">
        <w:rPr>
          <w:rFonts w:asciiTheme="minorHAnsi" w:hAnsiTheme="minorHAnsi" w:cs="Calibri"/>
          <w:b/>
          <w:color w:val="000000"/>
          <w:sz w:val="18"/>
          <w:szCs w:val="18"/>
        </w:rPr>
        <w:t>ÚVOD</w:t>
      </w:r>
    </w:p>
    <w:p w:rsidR="00C508C9" w:rsidRPr="00B00405" w:rsidRDefault="00C508C9" w:rsidP="00C508C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  <w:b/>
          <w:color w:val="000000"/>
          <w:sz w:val="18"/>
          <w:szCs w:val="18"/>
        </w:rPr>
      </w:pPr>
      <w:r w:rsidRPr="00B00405">
        <w:rPr>
          <w:rFonts w:asciiTheme="minorHAnsi" w:hAnsiTheme="minorHAnsi" w:cs="Calibri"/>
          <w:color w:val="000000"/>
          <w:sz w:val="18"/>
          <w:szCs w:val="18"/>
        </w:rPr>
        <w:t xml:space="preserve">Směrnice Biskupského gymnázia, CZŠ, MŠ a ZUŠ Hradec Králové </w:t>
      </w:r>
      <w:r w:rsidR="00310838" w:rsidRPr="00B00405">
        <w:rPr>
          <w:rFonts w:asciiTheme="minorHAnsi" w:hAnsiTheme="minorHAnsi" w:cs="Calibri"/>
          <w:color w:val="000000"/>
          <w:sz w:val="18"/>
          <w:szCs w:val="18"/>
        </w:rPr>
        <w:t xml:space="preserve">(dále jen škola) </w:t>
      </w:r>
      <w:r w:rsidRPr="00B00405">
        <w:rPr>
          <w:rFonts w:asciiTheme="minorHAnsi" w:hAnsiTheme="minorHAnsi" w:cs="Calibri"/>
          <w:color w:val="000000"/>
          <w:sz w:val="18"/>
          <w:szCs w:val="18"/>
        </w:rPr>
        <w:t>slouží dětem a mládeži a snaží se jim vytvořit bezpečné prostředí, aby se mohly zdravě rozvíjet, růst a učit se. Součástí jejich bezpečí je i ochrana před jakýmkoliv zneužíváním a ubližováním v době školní výuky, ale i na všech akcích pořádaných školou a jejími součástmi, při volnočasových aktivitách, kroužcích nebo mimoškolní činnosti.</w:t>
      </w:r>
    </w:p>
    <w:p w:rsidR="00C508C9" w:rsidRPr="00B00405" w:rsidRDefault="00C508C9" w:rsidP="00C508C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inorHAnsi" w:hAnsiTheme="minorHAnsi" w:cs="Calibri"/>
          <w:b/>
          <w:color w:val="000000"/>
          <w:sz w:val="18"/>
          <w:szCs w:val="18"/>
        </w:rPr>
      </w:pPr>
      <w:r w:rsidRPr="00B00405">
        <w:rPr>
          <w:rFonts w:asciiTheme="minorHAnsi" w:hAnsiTheme="minorHAnsi" w:cs="Calibri"/>
          <w:b/>
          <w:color w:val="000000"/>
          <w:sz w:val="18"/>
          <w:szCs w:val="18"/>
        </w:rPr>
        <w:t>VYMEZENÍ POJMU</w:t>
      </w:r>
    </w:p>
    <w:p w:rsidR="00C508C9" w:rsidRPr="00B00405" w:rsidRDefault="00C508C9" w:rsidP="00C508C9">
      <w:p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Zneužíváním se rozumí nepatřičné vystavení dítěte sexuálnímu kontaktu, činnosti nebo jednání ze strany dospělé osoby, případně i neplnoleté osoby v případě, že jedna strana nemůže dát nebo nedala k aktivitě  souhlas</w:t>
      </w:r>
      <w:r w:rsidR="00873D19" w:rsidRPr="00B00405">
        <w:rPr>
          <w:rFonts w:asciiTheme="minorHAnsi" w:hAnsiTheme="minorHAnsi" w:cs="Calibri"/>
          <w:sz w:val="18"/>
          <w:szCs w:val="18"/>
        </w:rPr>
        <w:t xml:space="preserve"> (dále jen SZD)</w:t>
      </w:r>
      <w:r w:rsidRPr="00B00405">
        <w:rPr>
          <w:rFonts w:asciiTheme="minorHAnsi" w:hAnsiTheme="minorHAnsi" w:cs="Calibri"/>
          <w:sz w:val="18"/>
          <w:szCs w:val="18"/>
        </w:rPr>
        <w:t xml:space="preserve">. </w:t>
      </w:r>
    </w:p>
    <w:p w:rsidR="00C508C9" w:rsidRPr="00B00405" w:rsidRDefault="00C508C9" w:rsidP="00C508C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>FAKTORY ODLIŠUJÍCÍ ZNEUŽÍVAJÍCÍ SEXUÁLNÍ AKTY OD NEZNEUŽÍVAJÍCÍCH</w:t>
      </w:r>
    </w:p>
    <w:p w:rsidR="00C508C9" w:rsidRPr="00B00405" w:rsidRDefault="00C508C9" w:rsidP="00C508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Rozdíl moci – jedna strana (pachatel) ovládá druhou (oběť), a to prostřednictvím různých zdrojů a nástrojů moci (přirozená autorita, manipulace, násilí, atd.);</w:t>
      </w:r>
    </w:p>
    <w:p w:rsidR="00C508C9" w:rsidRPr="00B00405" w:rsidRDefault="00C508C9" w:rsidP="00C508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rozdíl poznání – pachatel má dokonalejší porozumění významu a důsledkům sexuálního střetnutí, což zahrnuje, že je pachatel starší, vývojově dokonalejší nebo inteligentnější než oběť. Rozdíl moci a poznání způsobuje, že jestliže spolupracovalo i dítě a dalo k sexuální aktivitě souhlas, v žádném případě to nemohl být souhlas svobodný a informovaný, a tedy ani platný;</w:t>
      </w:r>
    </w:p>
    <w:p w:rsidR="00C508C9" w:rsidRPr="00B00405" w:rsidRDefault="00C508C9" w:rsidP="00C508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rozdíl uspokojení – primárním cílem pachatele je sebe samého sexuálně uspokojit;</w:t>
      </w:r>
    </w:p>
    <w:p w:rsidR="00C508C9" w:rsidRPr="00B00405" w:rsidRDefault="00C508C9" w:rsidP="00C508C9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 xml:space="preserve">potřeba utajování – pachatel se důkladným utajováním svého konání chrání před odhalením a jeho následky. </w:t>
      </w:r>
      <w:r w:rsidRPr="00B00405">
        <w:rPr>
          <w:rStyle w:val="Znakapoznpodarou"/>
          <w:rFonts w:asciiTheme="minorHAnsi" w:hAnsiTheme="minorHAnsi" w:cs="Calibri"/>
          <w:sz w:val="18"/>
          <w:szCs w:val="18"/>
        </w:rPr>
        <w:footnoteReference w:id="1"/>
      </w:r>
      <w:bookmarkStart w:id="0" w:name="_GoBack"/>
      <w:bookmarkEnd w:id="0"/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</w:p>
    <w:p w:rsidR="00C508C9" w:rsidRPr="00B00405" w:rsidRDefault="00C508C9" w:rsidP="00C508C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 xml:space="preserve">PREVENCE SEXUÁLNÍHO ZNEUŽÍVÁNÍ 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V</w:t>
      </w:r>
      <w:r w:rsidR="00310838" w:rsidRPr="00B00405">
        <w:rPr>
          <w:rFonts w:asciiTheme="minorHAnsi" w:hAnsiTheme="minorHAnsi" w:cs="Calibri"/>
          <w:sz w:val="18"/>
          <w:szCs w:val="18"/>
        </w:rPr>
        <w:t>e škole</w:t>
      </w:r>
      <w:r w:rsidRPr="00B00405">
        <w:rPr>
          <w:rFonts w:asciiTheme="minorHAnsi" w:hAnsiTheme="minorHAnsi" w:cs="Calibri"/>
          <w:sz w:val="18"/>
          <w:szCs w:val="18"/>
        </w:rPr>
        <w:t xml:space="preserve"> se zajisté najde dost dětí, které jsou v nouzi, citově deprimované, smutné a unavené z konfliktního rodinného zázemí, osamělé, odstrčené jinými dětmi, důvěřivé, s nižším sebevědomím a s touhou zalíbit se jiným. Podle výzkumných zjištění pachatelé sexuálního zneužívání preferují oběti právě s výše zmíněnými charakteristikami, protože jsou snadněji manipulovatelné. Je potřeba si uvědomit, že stej</w:t>
      </w:r>
      <w:r w:rsidR="0080474A" w:rsidRPr="00B00405">
        <w:rPr>
          <w:rFonts w:asciiTheme="minorHAnsi" w:hAnsiTheme="minorHAnsi" w:cs="Calibri"/>
          <w:sz w:val="18"/>
          <w:szCs w:val="18"/>
        </w:rPr>
        <w:t>ná dynamika, která vytváří vhod</w:t>
      </w:r>
      <w:r w:rsidRPr="00B00405">
        <w:rPr>
          <w:rFonts w:asciiTheme="minorHAnsi" w:hAnsiTheme="minorHAnsi" w:cs="Calibri"/>
          <w:sz w:val="18"/>
          <w:szCs w:val="18"/>
        </w:rPr>
        <w:t>né prostředí a může v konečném důsledku chránit před sexuálním zneužíváním dětí (dále jen SZD), může zároveň otevřít dveře vůči výskytu zneužívání. Podpora blízkých vztahů mezi dětmi, mládeží a dospělými v organizaci můž</w:t>
      </w:r>
      <w:r w:rsidR="00310838" w:rsidRPr="00B00405">
        <w:rPr>
          <w:rFonts w:asciiTheme="minorHAnsi" w:hAnsiTheme="minorHAnsi" w:cs="Calibri"/>
          <w:sz w:val="18"/>
          <w:szCs w:val="18"/>
        </w:rPr>
        <w:t>e</w:t>
      </w:r>
      <w:r w:rsidRPr="00B00405">
        <w:rPr>
          <w:rFonts w:asciiTheme="minorHAnsi" w:hAnsiTheme="minorHAnsi" w:cs="Calibri"/>
          <w:sz w:val="18"/>
          <w:szCs w:val="18"/>
        </w:rPr>
        <w:t xml:space="preserve"> pomoci dětem, aby se cítily podporované a milované a tak redukovat riziko SZD. Avšak ta samá vztahová blízkost může být příležitostí pro SZD. Proto je</w:t>
      </w:r>
      <w:r w:rsidR="0080474A" w:rsidRPr="00B00405">
        <w:rPr>
          <w:rFonts w:asciiTheme="minorHAnsi" w:hAnsiTheme="minorHAnsi" w:cs="Calibri"/>
          <w:sz w:val="18"/>
          <w:szCs w:val="18"/>
        </w:rPr>
        <w:t xml:space="preserve"> velmi důležité, aby měl</w:t>
      </w:r>
      <w:r w:rsidR="00310838" w:rsidRPr="00B00405">
        <w:rPr>
          <w:rFonts w:asciiTheme="minorHAnsi" w:hAnsiTheme="minorHAnsi" w:cs="Calibri"/>
          <w:sz w:val="18"/>
          <w:szCs w:val="18"/>
        </w:rPr>
        <w:t>a škola</w:t>
      </w:r>
      <w:r w:rsidRPr="00B00405">
        <w:rPr>
          <w:rFonts w:asciiTheme="minorHAnsi" w:hAnsiTheme="minorHAnsi" w:cs="Calibri"/>
          <w:sz w:val="18"/>
          <w:szCs w:val="18"/>
        </w:rPr>
        <w:t xml:space="preserve"> kvalitní systém prevence SZD. </w:t>
      </w:r>
      <w:r w:rsidRPr="00B00405">
        <w:rPr>
          <w:rStyle w:val="Znakapoznpodarou"/>
          <w:rFonts w:asciiTheme="minorHAnsi" w:hAnsiTheme="minorHAnsi" w:cs="Calibri"/>
          <w:sz w:val="18"/>
          <w:szCs w:val="18"/>
        </w:rPr>
        <w:footnoteReference w:id="2"/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</w:p>
    <w:p w:rsidR="00C508C9" w:rsidRPr="00B00405" w:rsidRDefault="00C508C9" w:rsidP="00C508C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>PĚT KLÍČOVÝCH SLOŽEK PREVENCE SZD</w:t>
      </w:r>
    </w:p>
    <w:p w:rsidR="00C508C9" w:rsidRPr="00B00405" w:rsidRDefault="00873D19" w:rsidP="00C508C9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lastRenderedPageBreak/>
        <w:t>Sc</w:t>
      </w:r>
      <w:r w:rsidR="00C508C9" w:rsidRPr="00B00405">
        <w:rPr>
          <w:rFonts w:asciiTheme="minorHAnsi" w:hAnsiTheme="minorHAnsi" w:cs="Calibri"/>
          <w:b/>
          <w:sz w:val="18"/>
          <w:szCs w:val="18"/>
        </w:rPr>
        <w:t>r</w:t>
      </w:r>
      <w:r w:rsidR="00D638AA" w:rsidRPr="00B00405">
        <w:rPr>
          <w:rFonts w:asciiTheme="minorHAnsi" w:hAnsiTheme="minorHAnsi" w:cs="Calibri"/>
          <w:b/>
          <w:sz w:val="18"/>
          <w:szCs w:val="18"/>
        </w:rPr>
        <w:t>ee</w:t>
      </w:r>
      <w:r w:rsidR="00C508C9" w:rsidRPr="00B00405">
        <w:rPr>
          <w:rFonts w:asciiTheme="minorHAnsi" w:hAnsiTheme="minorHAnsi" w:cs="Calibri"/>
          <w:b/>
          <w:sz w:val="18"/>
          <w:szCs w:val="18"/>
        </w:rPr>
        <w:t>ning a výběr jedinců ucházejících se o pozi</w:t>
      </w:r>
      <w:r w:rsidR="0080474A" w:rsidRPr="00B00405">
        <w:rPr>
          <w:rFonts w:asciiTheme="minorHAnsi" w:hAnsiTheme="minorHAnsi" w:cs="Calibri"/>
          <w:b/>
          <w:sz w:val="18"/>
          <w:szCs w:val="18"/>
        </w:rPr>
        <w:t>ci zaměstnance</w:t>
      </w:r>
      <w:r w:rsidR="00C508C9" w:rsidRPr="00B00405">
        <w:rPr>
          <w:rFonts w:asciiTheme="minorHAnsi" w:hAnsiTheme="minorHAnsi" w:cs="Calibri"/>
          <w:b/>
          <w:sz w:val="18"/>
          <w:szCs w:val="18"/>
        </w:rPr>
        <w:t xml:space="preserve"> v organizaci</w:t>
      </w:r>
    </w:p>
    <w:p w:rsidR="00C508C9" w:rsidRPr="00B00405" w:rsidRDefault="00C508C9" w:rsidP="00C508C9">
      <w:p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Cílem první složky je snížit riziko, že uvedené pozice získají jedinci se sexuální deviantní historií nebo sklony. K tomuto účelu používáme několik strategií:</w:t>
      </w:r>
    </w:p>
    <w:p w:rsidR="00C508C9" w:rsidRPr="00B00405" w:rsidRDefault="00C508C9" w:rsidP="00C508C9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 xml:space="preserve">Informování </w:t>
      </w:r>
      <w:r w:rsidR="0080474A" w:rsidRPr="00B00405">
        <w:rPr>
          <w:rFonts w:asciiTheme="minorHAnsi" w:hAnsiTheme="minorHAnsi" w:cs="Calibri"/>
          <w:b/>
          <w:sz w:val="18"/>
          <w:szCs w:val="18"/>
        </w:rPr>
        <w:t>uchazeče o zásadách a směrnici</w:t>
      </w:r>
      <w:r w:rsidRPr="00B00405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B00405">
        <w:rPr>
          <w:rFonts w:asciiTheme="minorHAnsi" w:hAnsiTheme="minorHAnsi" w:cs="Calibri"/>
          <w:sz w:val="18"/>
          <w:szCs w:val="18"/>
        </w:rPr>
        <w:t>vztahující se na prevenci SZD, které platí v</w:t>
      </w:r>
      <w:r w:rsidR="00310838" w:rsidRPr="00B00405">
        <w:rPr>
          <w:rFonts w:asciiTheme="minorHAnsi" w:hAnsiTheme="minorHAnsi" w:cs="Calibri"/>
          <w:sz w:val="18"/>
          <w:szCs w:val="18"/>
        </w:rPr>
        <w:t> naší škole</w:t>
      </w:r>
      <w:r w:rsidRPr="00B00405">
        <w:rPr>
          <w:rFonts w:asciiTheme="minorHAnsi" w:hAnsiTheme="minorHAnsi" w:cs="Calibri"/>
          <w:sz w:val="18"/>
          <w:szCs w:val="18"/>
        </w:rPr>
        <w:t xml:space="preserve">. Tímto informováním má uchazeč dostat jasné poselství o tom, že </w:t>
      </w:r>
      <w:r w:rsidR="00310838" w:rsidRPr="00B00405">
        <w:rPr>
          <w:rFonts w:asciiTheme="minorHAnsi" w:hAnsiTheme="minorHAnsi" w:cs="Calibri"/>
          <w:sz w:val="18"/>
          <w:szCs w:val="18"/>
        </w:rPr>
        <w:t>škola</w:t>
      </w:r>
      <w:r w:rsidRPr="00B00405">
        <w:rPr>
          <w:rFonts w:asciiTheme="minorHAnsi" w:hAnsiTheme="minorHAnsi" w:cs="Calibri"/>
          <w:sz w:val="18"/>
          <w:szCs w:val="18"/>
        </w:rPr>
        <w:t xml:space="preserve"> bere ochranu dětí a mládeže vážně. Potenciální sexuální predátory to může odradit od snahy proniknout do organizace.</w:t>
      </w:r>
    </w:p>
    <w:p w:rsidR="00C508C9" w:rsidRPr="00B00405" w:rsidRDefault="00C508C9" w:rsidP="00C508C9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 xml:space="preserve">Osobní pohovor </w:t>
      </w:r>
      <w:r w:rsidRPr="00B00405">
        <w:rPr>
          <w:rFonts w:asciiTheme="minorHAnsi" w:hAnsiTheme="minorHAnsi" w:cs="Calibri"/>
          <w:sz w:val="18"/>
          <w:szCs w:val="18"/>
        </w:rPr>
        <w:t xml:space="preserve">usilující se rozvíjet diskuzi o otázkách, které </w:t>
      </w:r>
      <w:r w:rsidR="0080474A" w:rsidRPr="00B00405">
        <w:rPr>
          <w:rFonts w:asciiTheme="minorHAnsi" w:hAnsiTheme="minorHAnsi" w:cs="Calibri"/>
          <w:sz w:val="18"/>
          <w:szCs w:val="18"/>
        </w:rPr>
        <w:t xml:space="preserve">se snaží určit, jestli má uchazeč zdravé, přiměřené vztahy s dospělými, stejně jako jasné hranice a etické normy v oblasti chování se k dětem a mládeži. </w:t>
      </w:r>
    </w:p>
    <w:p w:rsidR="00C508C9" w:rsidRPr="00B00405" w:rsidRDefault="00C508C9" w:rsidP="00C508C9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 xml:space="preserve">Získání referencí </w:t>
      </w:r>
      <w:r w:rsidRPr="00B00405">
        <w:rPr>
          <w:rFonts w:asciiTheme="minorHAnsi" w:hAnsiTheme="minorHAnsi" w:cs="Calibri"/>
          <w:sz w:val="18"/>
          <w:szCs w:val="18"/>
        </w:rPr>
        <w:t>o uchazeči z různých zdrojů, především od předešlých zaměstnavatelů. K získání lepšího obrazu o uchazeči je vhodné tázat se referujícího spíše na osobní charakteristiky uchazeče, na interakci uchazeče s dětmi a mládeží. Zjistit od referujícího, v čem je uchazeč pro výkon dané pozice vhodný, resp. nevhodný pro práci s dětmi.</w:t>
      </w:r>
    </w:p>
    <w:p w:rsidR="00C508C9" w:rsidRPr="00B00405" w:rsidRDefault="00C508C9" w:rsidP="00C508C9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 xml:space="preserve">Prověření bezúhonnosti </w:t>
      </w:r>
      <w:r w:rsidRPr="00B00405">
        <w:rPr>
          <w:rFonts w:asciiTheme="minorHAnsi" w:hAnsiTheme="minorHAnsi" w:cs="Calibri"/>
          <w:sz w:val="18"/>
          <w:szCs w:val="18"/>
        </w:rPr>
        <w:t xml:space="preserve">prostřednictvím vyžadování výpisu z rejstříku trestních záznamů. Záznamy týkající se SZD nebo jiného násilného činu jsou důvodem pro nepřijetí uchazeče na pozici zaměstnance v organizaci. </w:t>
      </w:r>
    </w:p>
    <w:p w:rsidR="00C508C9" w:rsidRPr="00B00405" w:rsidRDefault="00C508C9" w:rsidP="00C508C9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 xml:space="preserve">Nahlédnutí do interních záznamů organizace, </w:t>
      </w:r>
      <w:r w:rsidRPr="00B00405">
        <w:rPr>
          <w:rFonts w:asciiTheme="minorHAnsi" w:hAnsiTheme="minorHAnsi" w:cs="Calibri"/>
          <w:sz w:val="18"/>
          <w:szCs w:val="18"/>
        </w:rPr>
        <w:t xml:space="preserve">za účelem prověření, zda daný jedinec už v minulosti nehledal uplatnění v organizaci, nebo jestli nebyl vyřazený z důvodů souvisejících se SZD. </w:t>
      </w:r>
      <w:r w:rsidRPr="00B00405">
        <w:rPr>
          <w:rStyle w:val="Znakapoznpodarou"/>
          <w:rFonts w:asciiTheme="minorHAnsi" w:hAnsiTheme="minorHAnsi" w:cs="Calibri"/>
          <w:sz w:val="18"/>
          <w:szCs w:val="18"/>
        </w:rPr>
        <w:footnoteReference w:id="3"/>
      </w:r>
      <w:r w:rsidRPr="00B00405">
        <w:rPr>
          <w:rFonts w:asciiTheme="minorHAnsi" w:hAnsiTheme="minorHAnsi" w:cs="Calibri"/>
          <w:b/>
          <w:sz w:val="18"/>
          <w:szCs w:val="18"/>
        </w:rPr>
        <w:t xml:space="preserve">  </w:t>
      </w:r>
    </w:p>
    <w:p w:rsidR="00C508C9" w:rsidRPr="00B00405" w:rsidRDefault="0080474A" w:rsidP="00C508C9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>Interakce</w:t>
      </w:r>
      <w:r w:rsidR="00C508C9" w:rsidRPr="00B00405">
        <w:rPr>
          <w:rFonts w:asciiTheme="minorHAnsi" w:hAnsiTheme="minorHAnsi" w:cs="Calibri"/>
          <w:b/>
          <w:sz w:val="18"/>
          <w:szCs w:val="18"/>
        </w:rPr>
        <w:t xml:space="preserve"> mezi jedinci</w:t>
      </w:r>
    </w:p>
    <w:p w:rsidR="00C508C9" w:rsidRPr="00B00405" w:rsidRDefault="00C508C9" w:rsidP="00C508C9">
      <w:p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Cílem druhé složky prevence je zajistit, aby mezilidské kontakty odehrávající se v</w:t>
      </w:r>
      <w:r w:rsidR="00310838" w:rsidRPr="00B00405">
        <w:rPr>
          <w:rFonts w:asciiTheme="minorHAnsi" w:hAnsiTheme="minorHAnsi" w:cs="Calibri"/>
          <w:sz w:val="18"/>
          <w:szCs w:val="18"/>
        </w:rPr>
        <w:t>e škole</w:t>
      </w:r>
      <w:r w:rsidRPr="00B00405">
        <w:rPr>
          <w:rFonts w:asciiTheme="minorHAnsi" w:hAnsiTheme="minorHAnsi" w:cs="Calibri"/>
          <w:sz w:val="18"/>
          <w:szCs w:val="18"/>
        </w:rPr>
        <w:t xml:space="preserve">, byly pro děti a mládež bezpečné. </w:t>
      </w:r>
    </w:p>
    <w:p w:rsidR="00C508C9" w:rsidRPr="00B00405" w:rsidRDefault="00C508C9" w:rsidP="00C508C9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>Identifikace přiměřeného a nepřiměřeného, resp. poškozujícího chování</w:t>
      </w:r>
      <w:r w:rsidRPr="00B00405">
        <w:rPr>
          <w:rFonts w:asciiTheme="minorHAnsi" w:hAnsiTheme="minorHAnsi" w:cs="Calibri"/>
          <w:sz w:val="18"/>
          <w:szCs w:val="18"/>
        </w:rPr>
        <w:t xml:space="preserve">. Nepřiměřené chování zahrnuje upřednostňování některých dětí ze strany pracovníků, dávání dárků nebo vyhledávání příležitosti k tomu, aby pracovník zůstal s dětmi o samotě. </w:t>
      </w:r>
      <w:r w:rsidR="0080474A" w:rsidRPr="00B00405">
        <w:rPr>
          <w:rFonts w:asciiTheme="minorHAnsi" w:hAnsiTheme="minorHAnsi" w:cs="Calibri"/>
          <w:sz w:val="18"/>
          <w:szCs w:val="18"/>
        </w:rPr>
        <w:t>Je nutné</w:t>
      </w:r>
      <w:r w:rsidRPr="00B00405">
        <w:rPr>
          <w:rFonts w:asciiTheme="minorHAnsi" w:hAnsiTheme="minorHAnsi" w:cs="Calibri"/>
          <w:sz w:val="18"/>
          <w:szCs w:val="18"/>
        </w:rPr>
        <w:t xml:space="preserve"> identifikovat chování, které je přiměřené a žádoucí (jako např. pochvala a odměna za dobrou práci a chování, poplácání po zádech). </w:t>
      </w:r>
    </w:p>
    <w:p w:rsidR="00C508C9" w:rsidRPr="00B00405" w:rsidRDefault="00C508C9" w:rsidP="00C508C9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>Stanovení počtu zaměstnanců na počet dětí a mladých lidí</w:t>
      </w:r>
      <w:r w:rsidRPr="00B00405">
        <w:rPr>
          <w:rFonts w:asciiTheme="minorHAnsi" w:hAnsiTheme="minorHAnsi" w:cs="Calibri"/>
          <w:sz w:val="18"/>
          <w:szCs w:val="18"/>
        </w:rPr>
        <w:t xml:space="preserve">, které závisí na věku a vývojové úrovni dětí (čím menší děti, tím větší dohled); na rizikovosti aktivity (čím větší izolaci od ostatních aktivita zahrnuje, tím přísnější dohled); na lokalitě, ve které aktivita probíhá (čím rozlehlejší lokalita, tím náročnější monitoring). Vhodný počet jedinců pověřených dohledem ale nestačí, je potřeba zdůraznit, aby dohled brali vážně a vykonávali ho důsledně. </w:t>
      </w:r>
    </w:p>
    <w:p w:rsidR="00C508C9" w:rsidRPr="00B00405" w:rsidRDefault="00C508C9" w:rsidP="00C508C9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 xml:space="preserve">Omezení interakcí typu jeden dospělý na jedno dítě. </w:t>
      </w:r>
      <w:r w:rsidRPr="00B00405">
        <w:rPr>
          <w:rFonts w:asciiTheme="minorHAnsi" w:hAnsiTheme="minorHAnsi" w:cs="Calibri"/>
          <w:sz w:val="18"/>
          <w:szCs w:val="18"/>
        </w:rPr>
        <w:t>Je potřebné předcházet situacím, ve kterých by dospělý zůstal o samotě s dítětem a to tak, že na daném místě by měl</w:t>
      </w:r>
      <w:r w:rsidR="00310838" w:rsidRPr="00B00405">
        <w:rPr>
          <w:rFonts w:asciiTheme="minorHAnsi" w:hAnsiTheme="minorHAnsi" w:cs="Calibri"/>
          <w:sz w:val="18"/>
          <w:szCs w:val="18"/>
        </w:rPr>
        <w:t xml:space="preserve"> být vždy ještě další dospělý. P</w:t>
      </w:r>
      <w:r w:rsidRPr="00B00405">
        <w:rPr>
          <w:rFonts w:asciiTheme="minorHAnsi" w:hAnsiTheme="minorHAnsi" w:cs="Calibri"/>
          <w:sz w:val="18"/>
          <w:szCs w:val="18"/>
        </w:rPr>
        <w:t>oslání organizace zahrnuje také individuální interakce (např. za účelem svaté zpovědi, duchovního vedení, poradenství, apod.), potom je třeb</w:t>
      </w:r>
      <w:r w:rsidR="0080474A" w:rsidRPr="00B00405">
        <w:rPr>
          <w:rFonts w:asciiTheme="minorHAnsi" w:hAnsiTheme="minorHAnsi" w:cs="Calibri"/>
          <w:sz w:val="18"/>
          <w:szCs w:val="18"/>
        </w:rPr>
        <w:t>a dávat velký důraz na dohled nad prací</w:t>
      </w:r>
      <w:r w:rsidRPr="00B00405">
        <w:rPr>
          <w:rFonts w:asciiTheme="minorHAnsi" w:hAnsiTheme="minorHAnsi" w:cs="Calibri"/>
          <w:sz w:val="18"/>
          <w:szCs w:val="18"/>
        </w:rPr>
        <w:t xml:space="preserve"> zaměstnance.  </w:t>
      </w:r>
    </w:p>
    <w:p w:rsidR="00C508C9" w:rsidRPr="00B00405" w:rsidRDefault="00C508C9" w:rsidP="0080474A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>Omezení rizika nevhodných interakcí mezi samotnými dětmi, resp. mládeží</w:t>
      </w:r>
      <w:r w:rsidR="0080474A" w:rsidRPr="00B00405">
        <w:rPr>
          <w:rFonts w:asciiTheme="minorHAnsi" w:hAnsiTheme="minorHAnsi" w:cs="Calibri"/>
          <w:b/>
          <w:sz w:val="18"/>
          <w:szCs w:val="18"/>
        </w:rPr>
        <w:t xml:space="preserve">. </w:t>
      </w:r>
      <w:r w:rsidRPr="00B00405">
        <w:rPr>
          <w:rFonts w:asciiTheme="minorHAnsi" w:hAnsiTheme="minorHAnsi" w:cs="Calibri"/>
          <w:sz w:val="18"/>
          <w:szCs w:val="18"/>
        </w:rPr>
        <w:t>Je důležité sledovat nejen chování zaměstnanců vůči jim svěřeným dětem a mládeži, ale také chování svěřenců k sobě navzájem.</w:t>
      </w:r>
    </w:p>
    <w:p w:rsidR="00C508C9" w:rsidRPr="00B00405" w:rsidRDefault="00C508C9" w:rsidP="00C508C9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lastRenderedPageBreak/>
        <w:t xml:space="preserve">Zákaz kontaktování dětí mimo </w:t>
      </w:r>
      <w:r w:rsidR="00310838" w:rsidRPr="00B00405">
        <w:rPr>
          <w:rFonts w:asciiTheme="minorHAnsi" w:hAnsiTheme="minorHAnsi" w:cs="Calibri"/>
          <w:b/>
          <w:sz w:val="18"/>
          <w:szCs w:val="18"/>
        </w:rPr>
        <w:t xml:space="preserve">osobami </w:t>
      </w:r>
      <w:r w:rsidR="00454B46" w:rsidRPr="00B00405">
        <w:rPr>
          <w:rFonts w:asciiTheme="minorHAnsi" w:hAnsiTheme="minorHAnsi" w:cs="Calibri"/>
          <w:b/>
          <w:sz w:val="18"/>
          <w:szCs w:val="18"/>
        </w:rPr>
        <w:t>nepatřícími do školy.</w:t>
      </w:r>
      <w:r w:rsidRPr="00B00405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B00405">
        <w:rPr>
          <w:rFonts w:asciiTheme="minorHAnsi" w:hAnsiTheme="minorHAnsi" w:cs="Calibri"/>
          <w:sz w:val="18"/>
          <w:szCs w:val="18"/>
        </w:rPr>
        <w:t xml:space="preserve">Zákaz se týká nepovolaných osob, které by se pokoušeli kontaktovat děti a mládež v čase, kdy jsou v péči </w:t>
      </w:r>
      <w:r w:rsidR="00310838" w:rsidRPr="00B00405">
        <w:rPr>
          <w:rFonts w:asciiTheme="minorHAnsi" w:hAnsiTheme="minorHAnsi" w:cs="Calibri"/>
          <w:sz w:val="18"/>
          <w:szCs w:val="18"/>
        </w:rPr>
        <w:t>školy</w:t>
      </w:r>
      <w:r w:rsidRPr="00B00405">
        <w:rPr>
          <w:rFonts w:asciiTheme="minorHAnsi" w:hAnsiTheme="minorHAnsi" w:cs="Calibri"/>
          <w:sz w:val="18"/>
          <w:szCs w:val="18"/>
        </w:rPr>
        <w:t>. Dodržování směrnice vyžaduje zavedení systémového monitorování příchodů a odchodů všech dětí a dospělých, kteří se pohybují v prostorách organizace.</w:t>
      </w:r>
    </w:p>
    <w:p w:rsidR="00C508C9" w:rsidRPr="00B00405" w:rsidRDefault="00C508C9" w:rsidP="00C508C9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>Informovanost rodičů (</w:t>
      </w:r>
      <w:r w:rsidR="00454B46" w:rsidRPr="00B00405">
        <w:rPr>
          <w:rFonts w:asciiTheme="minorHAnsi" w:hAnsiTheme="minorHAnsi" w:cs="Calibri"/>
          <w:b/>
          <w:sz w:val="18"/>
          <w:szCs w:val="18"/>
        </w:rPr>
        <w:t>zákonných zástupců</w:t>
      </w:r>
      <w:r w:rsidRPr="00B00405">
        <w:rPr>
          <w:rFonts w:asciiTheme="minorHAnsi" w:hAnsiTheme="minorHAnsi" w:cs="Calibri"/>
          <w:b/>
          <w:sz w:val="18"/>
          <w:szCs w:val="18"/>
        </w:rPr>
        <w:t xml:space="preserve">) a obstarání jejich souhlasu. </w:t>
      </w:r>
      <w:r w:rsidR="00454B46" w:rsidRPr="00B00405">
        <w:rPr>
          <w:rFonts w:asciiTheme="minorHAnsi" w:hAnsiTheme="minorHAnsi" w:cs="Calibri"/>
          <w:sz w:val="18"/>
          <w:szCs w:val="18"/>
        </w:rPr>
        <w:t>Škola</w:t>
      </w:r>
      <w:r w:rsidRPr="00B00405">
        <w:rPr>
          <w:rFonts w:asciiTheme="minorHAnsi" w:hAnsiTheme="minorHAnsi" w:cs="Calibri"/>
          <w:sz w:val="18"/>
          <w:szCs w:val="18"/>
        </w:rPr>
        <w:t xml:space="preserve"> má kontaktní údaje rodičů a informuje je např. o exkurzích, večerních aktivitách a výletech. Tyto akce by se neměly realizovat bez výslovného souhlasu rodičů (</w:t>
      </w:r>
      <w:r w:rsidR="00454B46" w:rsidRPr="00B00405">
        <w:rPr>
          <w:rFonts w:asciiTheme="minorHAnsi" w:hAnsiTheme="minorHAnsi" w:cs="Calibri"/>
          <w:sz w:val="18"/>
          <w:szCs w:val="18"/>
        </w:rPr>
        <w:t>zákonných zástupců</w:t>
      </w:r>
      <w:r w:rsidRPr="00B00405">
        <w:rPr>
          <w:rFonts w:asciiTheme="minorHAnsi" w:hAnsiTheme="minorHAnsi" w:cs="Calibri"/>
          <w:sz w:val="18"/>
          <w:szCs w:val="18"/>
        </w:rPr>
        <w:t xml:space="preserve">). </w:t>
      </w:r>
      <w:r w:rsidRPr="00B00405">
        <w:rPr>
          <w:rStyle w:val="Znakapoznpodarou"/>
          <w:rFonts w:asciiTheme="minorHAnsi" w:hAnsiTheme="minorHAnsi" w:cs="Calibri"/>
          <w:sz w:val="18"/>
          <w:szCs w:val="18"/>
        </w:rPr>
        <w:footnoteReference w:id="4"/>
      </w:r>
    </w:p>
    <w:p w:rsidR="00C508C9" w:rsidRPr="00B00405" w:rsidRDefault="00C508C9" w:rsidP="00C508C9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>Monitorování nepřiměřeného chování</w:t>
      </w:r>
    </w:p>
    <w:p w:rsidR="00C508C9" w:rsidRPr="00B00405" w:rsidRDefault="00C508C9" w:rsidP="00C508C9">
      <w:p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Cílem třetí složky prevence je snižovat riziko výskytu SZD, resp. včas odhalovat a intervenovat v případě podezření ze SZD. Monitorování zahrnuje následujících opatření:</w:t>
      </w:r>
    </w:p>
    <w:p w:rsidR="00613436" w:rsidRPr="00B00405" w:rsidRDefault="00C508C9" w:rsidP="00613436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>Upozornění všech zaměstnanců organizace, že je jejich povinností všímat si nevhodného chování</w:t>
      </w:r>
      <w:r w:rsidRPr="00B00405">
        <w:rPr>
          <w:rFonts w:asciiTheme="minorHAnsi" w:hAnsiTheme="minorHAnsi" w:cs="Calibri"/>
          <w:sz w:val="18"/>
          <w:szCs w:val="18"/>
        </w:rPr>
        <w:t xml:space="preserve"> a u</w:t>
      </w:r>
      <w:r w:rsidR="00613436" w:rsidRPr="00B00405">
        <w:rPr>
          <w:rFonts w:asciiTheme="minorHAnsi" w:hAnsiTheme="minorHAnsi" w:cs="Calibri"/>
          <w:sz w:val="18"/>
          <w:szCs w:val="18"/>
        </w:rPr>
        <w:t>pozornit o tom kompetentní osoby nebo organizace,</w:t>
      </w:r>
      <w:r w:rsidRPr="00B00405">
        <w:rPr>
          <w:rFonts w:asciiTheme="minorHAnsi" w:hAnsiTheme="minorHAnsi" w:cs="Calibri"/>
          <w:sz w:val="18"/>
          <w:szCs w:val="18"/>
        </w:rPr>
        <w:t xml:space="preserve"> i v případě, že si nejsou zcela jistí, zda dané chování je nebo není přiměřené. </w:t>
      </w:r>
    </w:p>
    <w:p w:rsidR="00C508C9" w:rsidRPr="00B00405" w:rsidRDefault="00C508C9" w:rsidP="00613436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>Využívání hospitací k získání jasného obrazu o chování jedinců</w:t>
      </w:r>
      <w:r w:rsidRPr="00B00405">
        <w:rPr>
          <w:rFonts w:asciiTheme="minorHAnsi" w:hAnsiTheme="minorHAnsi" w:cs="Calibri"/>
          <w:sz w:val="18"/>
          <w:szCs w:val="18"/>
        </w:rPr>
        <w:t xml:space="preserve">. V případě odhalení nepřiměřeného chování musí dojít ke konfrontaci a v případě podezření nebo odhalení trestného činu, ho musí kompetentní osoba nahlásit správním organům. </w:t>
      </w:r>
    </w:p>
    <w:p w:rsidR="00C508C9" w:rsidRPr="00B00405" w:rsidRDefault="00C508C9" w:rsidP="00C508C9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 xml:space="preserve">Zajištění bezpečného prostředí </w:t>
      </w:r>
    </w:p>
    <w:p w:rsidR="00C508C9" w:rsidRPr="00B00405" w:rsidRDefault="00C508C9" w:rsidP="00C508C9">
      <w:p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Cílem této složky prevence je předcházet situacím, ve kterých jsou děti a mládež vystavení většímu riziku výskytu SZD. K naplnění tohoto cíle by měli pomoci následující opatření:</w:t>
      </w:r>
    </w:p>
    <w:p w:rsidR="00C508C9" w:rsidRPr="00B00405" w:rsidRDefault="00C508C9" w:rsidP="00C508C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 xml:space="preserve">Důraz na viditelnost. </w:t>
      </w:r>
      <w:r w:rsidRPr="00B00405">
        <w:rPr>
          <w:rFonts w:asciiTheme="minorHAnsi" w:hAnsiTheme="minorHAnsi" w:cs="Calibri"/>
          <w:sz w:val="18"/>
          <w:szCs w:val="18"/>
        </w:rPr>
        <w:t xml:space="preserve">Prostory, které jsou přístupné a transparentní pro více lidí, mohou odrážet sexuální predátory od útoku. </w:t>
      </w:r>
    </w:p>
    <w:p w:rsidR="00C508C9" w:rsidRPr="00B00405" w:rsidRDefault="00C508C9" w:rsidP="00C508C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 xml:space="preserve">Zabezpečení soukromí při používání toalety, sprchy a při převlékání, </w:t>
      </w:r>
      <w:r w:rsidRPr="00B00405">
        <w:rPr>
          <w:rFonts w:asciiTheme="minorHAnsi" w:hAnsiTheme="minorHAnsi" w:cs="Calibri"/>
          <w:sz w:val="18"/>
          <w:szCs w:val="18"/>
        </w:rPr>
        <w:t xml:space="preserve">aby se snížilo nejen riziko sexuálně nepřiměřeného chování ze strany zaměstnanců, ale také ze strany samotných svěřenců. </w:t>
      </w:r>
    </w:p>
    <w:p w:rsidR="00C508C9" w:rsidRPr="00B00405" w:rsidRDefault="00C508C9" w:rsidP="00C508C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 xml:space="preserve">Pravidla a komunikace pravidel pro aktivity realizované mimo prostory </w:t>
      </w:r>
      <w:r w:rsidRPr="00B00405">
        <w:rPr>
          <w:rFonts w:asciiTheme="minorHAnsi" w:hAnsiTheme="minorHAnsi" w:cs="Calibri"/>
          <w:sz w:val="18"/>
          <w:szCs w:val="18"/>
        </w:rPr>
        <w:t>(např. výlety), kde je žádoucí dodržovat jasné hranice soukromí.</w:t>
      </w:r>
    </w:p>
    <w:p w:rsidR="00C508C9" w:rsidRPr="00B00405" w:rsidRDefault="00C508C9" w:rsidP="00C508C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 xml:space="preserve">Zásady transportu </w:t>
      </w:r>
      <w:r w:rsidRPr="00B00405">
        <w:rPr>
          <w:rFonts w:asciiTheme="minorHAnsi" w:hAnsiTheme="minorHAnsi" w:cs="Calibri"/>
          <w:sz w:val="18"/>
          <w:szCs w:val="18"/>
        </w:rPr>
        <w:t xml:space="preserve">svěřenců na i z pravidelných aktivit (např. kroužky) a jiných akcí (např. výlety). Zásady transportu by měly jasně vymezovat: kdy za transport zodpovídá </w:t>
      </w:r>
      <w:r w:rsidR="00454B46" w:rsidRPr="00B00405">
        <w:rPr>
          <w:rFonts w:asciiTheme="minorHAnsi" w:hAnsiTheme="minorHAnsi" w:cs="Calibri"/>
          <w:sz w:val="18"/>
          <w:szCs w:val="18"/>
        </w:rPr>
        <w:t>škola</w:t>
      </w:r>
      <w:r w:rsidRPr="00B00405">
        <w:rPr>
          <w:rFonts w:asciiTheme="minorHAnsi" w:hAnsiTheme="minorHAnsi" w:cs="Calibri"/>
          <w:sz w:val="18"/>
          <w:szCs w:val="18"/>
        </w:rPr>
        <w:t xml:space="preserve"> a kdy rodič</w:t>
      </w:r>
      <w:r w:rsidR="0080474A" w:rsidRPr="00B00405">
        <w:rPr>
          <w:rFonts w:asciiTheme="minorHAnsi" w:hAnsiTheme="minorHAnsi" w:cs="Calibri"/>
          <w:sz w:val="18"/>
          <w:szCs w:val="18"/>
        </w:rPr>
        <w:t>.</w:t>
      </w:r>
    </w:p>
    <w:p w:rsidR="00C508C9" w:rsidRPr="00B00405" w:rsidRDefault="00C508C9" w:rsidP="00C508C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 xml:space="preserve">Instalace monitorovacích zařízení </w:t>
      </w:r>
      <w:r w:rsidRPr="00B00405">
        <w:rPr>
          <w:rFonts w:asciiTheme="minorHAnsi" w:hAnsiTheme="minorHAnsi" w:cs="Calibri"/>
          <w:sz w:val="18"/>
          <w:szCs w:val="18"/>
        </w:rPr>
        <w:t>(např. videokamer) v prostorách organizace.</w:t>
      </w:r>
    </w:p>
    <w:p w:rsidR="00C508C9" w:rsidRPr="00B00405" w:rsidRDefault="00C508C9" w:rsidP="00C508C9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>Reagování na nepřiměřené chování, porušení zásad, obvinění nebo podezření ze SZD</w:t>
      </w:r>
    </w:p>
    <w:p w:rsidR="00C508C9" w:rsidRPr="00B00405" w:rsidRDefault="00C508C9" w:rsidP="00C508C9">
      <w:p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Cílem předposlední složky prevence je přijmout opatření k tomu, aby reakce v uvedených situacích byla adekvátní. K těmto opatřením patří:</w:t>
      </w:r>
    </w:p>
    <w:p w:rsidR="00C508C9" w:rsidRPr="00B00405" w:rsidRDefault="00C508C9" w:rsidP="00C508C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>Rozlišovat co oznámit kompetentním osobám v rámci organizace a co organům činným v trestním řízení</w:t>
      </w:r>
      <w:r w:rsidRPr="00B00405">
        <w:rPr>
          <w:rFonts w:asciiTheme="minorHAnsi" w:hAnsiTheme="minorHAnsi" w:cs="Calibri"/>
          <w:sz w:val="18"/>
          <w:szCs w:val="18"/>
        </w:rPr>
        <w:t>. Úlohou zaměstnance v organizaci není hodnocení nebo vedení vlastního vyšetřování, ale adekvátně reagovat (tzn. situaci nepodceňovat a zároveň ji nezveličovat).</w:t>
      </w:r>
      <w:r w:rsidR="00864BE2" w:rsidRPr="00B00405">
        <w:rPr>
          <w:rFonts w:asciiTheme="minorHAnsi" w:hAnsiTheme="minorHAnsi" w:cs="Calibri"/>
          <w:sz w:val="18"/>
          <w:szCs w:val="18"/>
        </w:rPr>
        <w:t xml:space="preserve"> </w:t>
      </w:r>
      <w:r w:rsidR="00864BE2" w:rsidRPr="00B00405">
        <w:rPr>
          <w:rFonts w:asciiTheme="minorHAnsi" w:hAnsiTheme="minorHAnsi" w:cs="Calibri"/>
          <w:b/>
          <w:sz w:val="18"/>
          <w:szCs w:val="18"/>
        </w:rPr>
        <w:t>V </w:t>
      </w:r>
      <w:r w:rsidR="00345FD3" w:rsidRPr="00B00405">
        <w:rPr>
          <w:rFonts w:asciiTheme="minorHAnsi" w:hAnsiTheme="minorHAnsi" w:cs="Calibri"/>
          <w:b/>
          <w:sz w:val="18"/>
          <w:szCs w:val="18"/>
        </w:rPr>
        <w:t xml:space="preserve">případě vážného podezření SZD je zaměstnancům </w:t>
      </w:r>
      <w:r w:rsidR="00454B46" w:rsidRPr="00B00405">
        <w:rPr>
          <w:rFonts w:asciiTheme="minorHAnsi" w:hAnsiTheme="minorHAnsi" w:cs="Calibri"/>
          <w:b/>
          <w:sz w:val="18"/>
          <w:szCs w:val="18"/>
        </w:rPr>
        <w:t>školy i žákům</w:t>
      </w:r>
      <w:r w:rsidR="00345FD3" w:rsidRPr="00B00405">
        <w:rPr>
          <w:rFonts w:asciiTheme="minorHAnsi" w:hAnsiTheme="minorHAnsi" w:cs="Calibri"/>
          <w:b/>
          <w:sz w:val="18"/>
          <w:szCs w:val="18"/>
        </w:rPr>
        <w:t xml:space="preserve"> doporučeno</w:t>
      </w:r>
      <w:r w:rsidR="00864BE2" w:rsidRPr="00B00405">
        <w:rPr>
          <w:rFonts w:asciiTheme="minorHAnsi" w:hAnsiTheme="minorHAnsi" w:cs="Calibri"/>
          <w:b/>
          <w:sz w:val="18"/>
          <w:szCs w:val="18"/>
        </w:rPr>
        <w:t xml:space="preserve"> kontaktovat orgány sociálně-právní </w:t>
      </w:r>
      <w:r w:rsidR="00864BE2" w:rsidRPr="00B00405">
        <w:rPr>
          <w:rFonts w:asciiTheme="minorHAnsi" w:hAnsiTheme="minorHAnsi" w:cs="Calibri"/>
          <w:b/>
          <w:sz w:val="18"/>
          <w:szCs w:val="18"/>
        </w:rPr>
        <w:lastRenderedPageBreak/>
        <w:t>ochrany dětí</w:t>
      </w:r>
      <w:r w:rsidR="00454B46" w:rsidRPr="00B00405">
        <w:rPr>
          <w:rFonts w:asciiTheme="minorHAnsi" w:hAnsiTheme="minorHAnsi" w:cs="Calibri"/>
          <w:b/>
          <w:sz w:val="18"/>
          <w:szCs w:val="18"/>
        </w:rPr>
        <w:t xml:space="preserve"> (OSPOD) nebo policii. Současně, oznámit toto podezření a popsat podniknuté kroky a úkony i vedení školy nebo peventistovi sociálně patologických jevů.</w:t>
      </w:r>
    </w:p>
    <w:p w:rsidR="00C508C9" w:rsidRPr="00B00405" w:rsidRDefault="00454B46" w:rsidP="00C508C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>Škola prošetří</w:t>
      </w:r>
      <w:r w:rsidR="00873D19" w:rsidRPr="00B00405">
        <w:rPr>
          <w:rFonts w:asciiTheme="minorHAnsi" w:hAnsiTheme="minorHAnsi" w:cs="Calibri"/>
          <w:b/>
          <w:sz w:val="18"/>
          <w:szCs w:val="18"/>
        </w:rPr>
        <w:t xml:space="preserve">, </w:t>
      </w:r>
      <w:r w:rsidR="00C508C9" w:rsidRPr="00B00405">
        <w:rPr>
          <w:rFonts w:asciiTheme="minorHAnsi" w:hAnsiTheme="minorHAnsi" w:cs="Calibri"/>
          <w:b/>
          <w:sz w:val="18"/>
          <w:szCs w:val="18"/>
        </w:rPr>
        <w:t xml:space="preserve"> zda k SZD nepomohlo selhání preventivního dodržování zásad</w:t>
      </w:r>
      <w:r w:rsidR="00C508C9" w:rsidRPr="00B00405">
        <w:rPr>
          <w:rFonts w:asciiTheme="minorHAnsi" w:hAnsiTheme="minorHAnsi" w:cs="Calibri"/>
          <w:sz w:val="18"/>
          <w:szCs w:val="18"/>
        </w:rPr>
        <w:t>, které provede školní odborník.</w:t>
      </w:r>
    </w:p>
    <w:p w:rsidR="00C508C9" w:rsidRPr="00B00405" w:rsidRDefault="00C508C9" w:rsidP="00C508C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>Při zveřejnění případu SZD chránit soukromí postižených osob.</w:t>
      </w:r>
      <w:r w:rsidRPr="00B00405">
        <w:rPr>
          <w:rFonts w:asciiTheme="minorHAnsi" w:hAnsiTheme="minorHAnsi" w:cs="Calibri"/>
          <w:sz w:val="18"/>
          <w:szCs w:val="18"/>
        </w:rPr>
        <w:t xml:space="preserve"> Vzhledem k citlivé povaze SZD jména obětí, obviněných, pachatelů a oznamovatelů zůstanou utajené před veřejností. </w:t>
      </w:r>
    </w:p>
    <w:p w:rsidR="00C508C9" w:rsidRPr="00B00405" w:rsidRDefault="00C508C9" w:rsidP="00C508C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 xml:space="preserve">Ošetření následného zaměstnání </w:t>
      </w:r>
      <w:r w:rsidR="00454B46" w:rsidRPr="00B00405">
        <w:rPr>
          <w:rFonts w:asciiTheme="minorHAnsi" w:hAnsiTheme="minorHAnsi" w:cs="Calibri"/>
          <w:b/>
          <w:sz w:val="18"/>
          <w:szCs w:val="18"/>
        </w:rPr>
        <w:t>osoby podezřelé</w:t>
      </w:r>
      <w:r w:rsidRPr="00B00405">
        <w:rPr>
          <w:rFonts w:asciiTheme="minorHAnsi" w:hAnsiTheme="minorHAnsi" w:cs="Calibri"/>
          <w:b/>
          <w:sz w:val="18"/>
          <w:szCs w:val="18"/>
        </w:rPr>
        <w:t>.</w:t>
      </w:r>
      <w:r w:rsidRPr="00B00405">
        <w:rPr>
          <w:rFonts w:asciiTheme="minorHAnsi" w:hAnsiTheme="minorHAnsi" w:cs="Calibri"/>
          <w:sz w:val="18"/>
          <w:szCs w:val="18"/>
        </w:rPr>
        <w:t xml:space="preserve"> Vzhledem k tomu, že obvinění ze SZD ještě neznamená prokázání viny, okamžité propuštění zaměstnance z</w:t>
      </w:r>
      <w:r w:rsidR="00454B46" w:rsidRPr="00B00405">
        <w:rPr>
          <w:rFonts w:asciiTheme="minorHAnsi" w:hAnsiTheme="minorHAnsi" w:cs="Calibri"/>
          <w:sz w:val="18"/>
          <w:szCs w:val="18"/>
        </w:rPr>
        <w:t>e školy</w:t>
      </w:r>
      <w:r w:rsidRPr="00B00405">
        <w:rPr>
          <w:rFonts w:asciiTheme="minorHAnsi" w:hAnsiTheme="minorHAnsi" w:cs="Calibri"/>
          <w:sz w:val="18"/>
          <w:szCs w:val="18"/>
        </w:rPr>
        <w:t xml:space="preserve"> není žádoucí. V takovém případě se </w:t>
      </w:r>
      <w:r w:rsidR="00454B46" w:rsidRPr="00B00405">
        <w:rPr>
          <w:rFonts w:asciiTheme="minorHAnsi" w:hAnsiTheme="minorHAnsi" w:cs="Calibri"/>
          <w:sz w:val="18"/>
          <w:szCs w:val="18"/>
        </w:rPr>
        <w:t>škola</w:t>
      </w:r>
      <w:r w:rsidRPr="00B00405">
        <w:rPr>
          <w:rFonts w:asciiTheme="minorHAnsi" w:hAnsiTheme="minorHAnsi" w:cs="Calibri"/>
          <w:sz w:val="18"/>
          <w:szCs w:val="18"/>
        </w:rPr>
        <w:t xml:space="preserve"> postará o tom, aby oběť a obviněný nepřicházeli do kontaktu. </w:t>
      </w:r>
    </w:p>
    <w:p w:rsidR="00C508C9" w:rsidRPr="00B00405" w:rsidRDefault="00C508C9" w:rsidP="00C508C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>Poskytnout podporu obětem a jejich rodinám.</w:t>
      </w:r>
      <w:r w:rsidRPr="00B00405">
        <w:rPr>
          <w:rFonts w:asciiTheme="minorHAnsi" w:hAnsiTheme="minorHAnsi" w:cs="Calibri"/>
          <w:sz w:val="18"/>
          <w:szCs w:val="18"/>
        </w:rPr>
        <w:t xml:space="preserve"> </w:t>
      </w:r>
      <w:r w:rsidR="00454B46" w:rsidRPr="00B00405">
        <w:rPr>
          <w:rFonts w:asciiTheme="minorHAnsi" w:hAnsiTheme="minorHAnsi" w:cs="Calibri"/>
          <w:sz w:val="18"/>
          <w:szCs w:val="18"/>
        </w:rPr>
        <w:t>Škola</w:t>
      </w:r>
      <w:r w:rsidRPr="00B00405">
        <w:rPr>
          <w:rFonts w:asciiTheme="minorHAnsi" w:hAnsiTheme="minorHAnsi" w:cs="Calibri"/>
          <w:sz w:val="18"/>
          <w:szCs w:val="18"/>
        </w:rPr>
        <w:t xml:space="preserve"> se bude snažit pomoci poškozeným zvládnout traumatickou situaci, a to především tak, že poškozeným poskytne kontakty na organizace, poradce a terapeuty zabývající se SZD; po domluvě pomohou s finančními náklady na poradenství a terapii.</w:t>
      </w:r>
    </w:p>
    <w:p w:rsidR="00C508C9" w:rsidRPr="00B00405" w:rsidRDefault="00C508C9" w:rsidP="00C508C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>Proces zvládnutí situace v organizaci.</w:t>
      </w:r>
      <w:r w:rsidR="00310838" w:rsidRPr="00B00405">
        <w:rPr>
          <w:rFonts w:asciiTheme="minorHAnsi" w:hAnsiTheme="minorHAnsi" w:cs="Calibri"/>
          <w:sz w:val="18"/>
          <w:szCs w:val="18"/>
        </w:rPr>
        <w:t xml:space="preserve"> Pracovníci </w:t>
      </w:r>
      <w:r w:rsidR="00454B46" w:rsidRPr="00B00405">
        <w:rPr>
          <w:rFonts w:asciiTheme="minorHAnsi" w:hAnsiTheme="minorHAnsi" w:cs="Calibri"/>
          <w:sz w:val="18"/>
          <w:szCs w:val="18"/>
        </w:rPr>
        <w:t>školy, žáci příslušné třídy nebo skupiny</w:t>
      </w:r>
      <w:r w:rsidRPr="00B00405">
        <w:rPr>
          <w:rFonts w:asciiTheme="minorHAnsi" w:hAnsiTheme="minorHAnsi" w:cs="Calibri"/>
          <w:sz w:val="18"/>
          <w:szCs w:val="18"/>
        </w:rPr>
        <w:t xml:space="preserve"> budou přiměřeným způsobem informováni o případě SZD; budou ujištěni, že se realizují kroky k náležitému řešení situace; možnost práce odborníkem</w:t>
      </w:r>
      <w:r w:rsidR="00454B46" w:rsidRPr="00B00405">
        <w:rPr>
          <w:rFonts w:asciiTheme="minorHAnsi" w:hAnsiTheme="minorHAnsi" w:cs="Calibri"/>
          <w:sz w:val="18"/>
          <w:szCs w:val="18"/>
        </w:rPr>
        <w:t xml:space="preserve"> )etoped, preventista sociálně patologických jevů)</w:t>
      </w:r>
      <w:r w:rsidRPr="00B00405">
        <w:rPr>
          <w:rFonts w:asciiTheme="minorHAnsi" w:hAnsiTheme="minorHAnsi" w:cs="Calibri"/>
          <w:sz w:val="18"/>
          <w:szCs w:val="18"/>
        </w:rPr>
        <w:t>.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B00405">
        <w:rPr>
          <w:rFonts w:asciiTheme="minorHAnsi" w:hAnsiTheme="minorHAnsi" w:cs="Calibri"/>
          <w:b/>
          <w:sz w:val="18"/>
          <w:szCs w:val="18"/>
        </w:rPr>
        <w:t>POUŽITÁ LITERATURA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CHILD LURES PREVENTION. A Profile of the Child Molester. [online], [citované 2002-07-16].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Dostupné na: &lt;http://www.childlures.com/research/ molester.asp&gt;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MICHANČOVÁ, S. Obete sexuálneho zneužívania detí v pastoračnom poli : Od poznania fenoménu k teologickým odpovediam ako predpokladom zodpovedných pastoračných opatrení. (Dizertačná práca) Košice : Teologická fakulta Katolíckej Univerzity v Ružomberku, 2007.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MICHANČOVÁ, S. Páchateľ sexuálneho zneužívania detí medzi nami. Prešov : Prešovská univerzita, 2005, 160 s., ISBN 80-8068-364-6.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MICHANČOVÁ, S. 2007. Potreba prevencie sexuálneho zneužívania v organizáciách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venujúcich sa voľnočasovým aktivitám detí a mládeže. (s. 164-169). In: KUBÍK, F. –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MICHANČOVÁ, S. (Eds.). Problematika voľného času detí a mládeže: Zborník z vedeckoodbornej konferencie. Prešov : Prešovská univerzita v Prešove, Gréckokatolícka teologická fakulta, 2007. ISBN 978-80-8068-643-7.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SALTER, A.C. Transforming Trauma : A Guide to Understanding and Treating Adult Survivors of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Child Sexual Abuse. Thousand Oaks : Sage Publications, Inc., 1995. 353 s. ISBN 0-8039-5509-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X.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SAUL, J. – AUDAGE, N.C. Preventing Child Sexual Abuse Within Youth-serving Organizations: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Getting Started on Policies and Procedures. Atlanta (GA): U.S. Department of Health and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Human Services, 2007.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VAN DAM, C. Identifying Child Molesters. preventing Child Sexual Abuse by Recognizing the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Patterns of the Offenders. New York : The Haworth Maltreatment and Trauma Press, 2001. 229 s. ISBN 0-7890-0743-6.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VICTIM ASSISTANCE COORDINATOR. Child Sexual Abuse and Prevention. Orlando, Florida :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Diocese of Orlando. [online], [citované 2007-05-30]. Dostupné na:</w:t>
      </w:r>
    </w:p>
    <w:p w:rsidR="00C508C9" w:rsidRPr="00B00405" w:rsidRDefault="00C508C9" w:rsidP="00C508C9">
      <w:pPr>
        <w:spacing w:after="0"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B00405">
        <w:rPr>
          <w:rFonts w:asciiTheme="minorHAnsi" w:hAnsiTheme="minorHAnsi" w:cs="Calibri"/>
          <w:sz w:val="18"/>
          <w:szCs w:val="18"/>
        </w:rPr>
        <w:t>&lt;http://orlandodiocese.org/outreach/child_youth/child_abuse.pdf&gt;</w:t>
      </w:r>
    </w:p>
    <w:p w:rsidR="00240528" w:rsidRPr="00B00405" w:rsidRDefault="00240528" w:rsidP="00C508C9">
      <w:pPr>
        <w:jc w:val="both"/>
        <w:rPr>
          <w:rFonts w:asciiTheme="minorHAnsi" w:hAnsiTheme="minorHAnsi"/>
          <w:sz w:val="18"/>
          <w:szCs w:val="18"/>
        </w:rPr>
      </w:pPr>
    </w:p>
    <w:sectPr w:rsidR="00240528" w:rsidRPr="00B00405" w:rsidSect="00B00405">
      <w:headerReference w:type="default" r:id="rId8"/>
      <w:footerReference w:type="default" r:id="rId9"/>
      <w:type w:val="continuous"/>
      <w:pgSz w:w="11906" w:h="16838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2E" w:rsidRDefault="00F57A2E" w:rsidP="00FC1976">
      <w:pPr>
        <w:spacing w:line="240" w:lineRule="auto"/>
      </w:pPr>
      <w:r>
        <w:separator/>
      </w:r>
    </w:p>
  </w:endnote>
  <w:endnote w:type="continuationSeparator" w:id="0">
    <w:p w:rsidR="00F57A2E" w:rsidRDefault="00F57A2E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AB8" w:rsidRDefault="00495AB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A03AA">
      <w:rPr>
        <w:noProof/>
      </w:rPr>
      <w:t>2</w:t>
    </w:r>
    <w:r>
      <w:fldChar w:fldCharType="end"/>
    </w:r>
  </w:p>
  <w:p w:rsidR="00115B16" w:rsidRPr="001B0BAC" w:rsidRDefault="00115B16" w:rsidP="00115B16">
    <w:pPr>
      <w:pStyle w:val="ZAPATI"/>
      <w:spacing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2E" w:rsidRDefault="00F57A2E" w:rsidP="00FC1976">
      <w:pPr>
        <w:spacing w:line="240" w:lineRule="auto"/>
      </w:pPr>
      <w:r>
        <w:separator/>
      </w:r>
    </w:p>
  </w:footnote>
  <w:footnote w:type="continuationSeparator" w:id="0">
    <w:p w:rsidR="00F57A2E" w:rsidRDefault="00F57A2E" w:rsidP="00FC1976">
      <w:pPr>
        <w:spacing w:line="240" w:lineRule="auto"/>
      </w:pPr>
      <w:r>
        <w:continuationSeparator/>
      </w:r>
    </w:p>
  </w:footnote>
  <w:footnote w:id="1">
    <w:p w:rsidR="00C508C9" w:rsidRDefault="00C508C9" w:rsidP="00C508C9">
      <w:pPr>
        <w:pStyle w:val="Textpoznpodarou"/>
      </w:pPr>
      <w:r>
        <w:rPr>
          <w:rStyle w:val="Znakapoznpodarou"/>
        </w:rPr>
        <w:footnoteRef/>
      </w:r>
      <w:r>
        <w:t xml:space="preserve"> Porov. S. Michančová, 2007, s. 13 – 14.</w:t>
      </w:r>
    </w:p>
  </w:footnote>
  <w:footnote w:id="2">
    <w:p w:rsidR="00C508C9" w:rsidRDefault="00C508C9" w:rsidP="00C508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PSMT" w:hAnsi="TimesNewRomanPSMT" w:cs="TimesNewRomanPSMT"/>
          <w:color w:val="000000"/>
        </w:rPr>
        <w:t>Porov. J. Saul – N.C. Audage, 2007, s. 1-2.</w:t>
      </w:r>
    </w:p>
  </w:footnote>
  <w:footnote w:id="3">
    <w:p w:rsidR="00C508C9" w:rsidRDefault="00C508C9" w:rsidP="00C508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PSMT" w:hAnsi="TimesNewRomanPSMT" w:cs="TimesNewRomanPSMT"/>
          <w:color w:val="000000"/>
        </w:rPr>
        <w:t>Porov. J. Saul – N.C. Audage, 2007, s. 4-8.</w:t>
      </w:r>
    </w:p>
    <w:p w:rsidR="00C508C9" w:rsidRDefault="00C508C9" w:rsidP="00C508C9">
      <w:pPr>
        <w:pStyle w:val="Textpoznpodarou"/>
      </w:pPr>
    </w:p>
  </w:footnote>
  <w:footnote w:id="4">
    <w:p w:rsidR="00C508C9" w:rsidRDefault="00C508C9" w:rsidP="00C508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PSMT" w:hAnsi="TimesNewRomanPSMT" w:cs="TimesNewRomanPSMT"/>
          <w:color w:val="000000"/>
        </w:rPr>
        <w:t>Porov. J. Saul – N. C. Audage, 2007, s. 9-12.</w:t>
      </w:r>
    </w:p>
    <w:p w:rsidR="00C508C9" w:rsidRDefault="00C508C9" w:rsidP="00C508C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495AB8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70F4F250" wp14:editId="0000ED43">
          <wp:extent cx="2514600" cy="600075"/>
          <wp:effectExtent l="0" t="0" r="0" b="0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2402"/>
    <w:multiLevelType w:val="hybridMultilevel"/>
    <w:tmpl w:val="7E982EE2"/>
    <w:lvl w:ilvl="0" w:tplc="062E964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C2455"/>
    <w:multiLevelType w:val="hybridMultilevel"/>
    <w:tmpl w:val="357E882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AE0F9B"/>
    <w:multiLevelType w:val="hybridMultilevel"/>
    <w:tmpl w:val="9EF8FD8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F60CEC"/>
    <w:multiLevelType w:val="hybridMultilevel"/>
    <w:tmpl w:val="B6E86026"/>
    <w:lvl w:ilvl="0" w:tplc="FFB8E7C8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1346B6"/>
    <w:multiLevelType w:val="hybridMultilevel"/>
    <w:tmpl w:val="2AE85264"/>
    <w:lvl w:ilvl="0" w:tplc="47D2C90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52010"/>
    <w:multiLevelType w:val="hybridMultilevel"/>
    <w:tmpl w:val="5B0C6B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E779F9"/>
    <w:multiLevelType w:val="hybridMultilevel"/>
    <w:tmpl w:val="456A6BE4"/>
    <w:lvl w:ilvl="0" w:tplc="77EACF8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052CF0"/>
    <w:multiLevelType w:val="hybridMultilevel"/>
    <w:tmpl w:val="CB8EC110"/>
    <w:lvl w:ilvl="0" w:tplc="3D5EB7E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903EA2"/>
    <w:multiLevelType w:val="hybridMultilevel"/>
    <w:tmpl w:val="BE1023A4"/>
    <w:lvl w:ilvl="0" w:tplc="C3DC6108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1945FD"/>
    <w:multiLevelType w:val="hybridMultilevel"/>
    <w:tmpl w:val="39CE27E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E04891"/>
    <w:multiLevelType w:val="hybridMultilevel"/>
    <w:tmpl w:val="E39462E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A44459"/>
    <w:multiLevelType w:val="hybridMultilevel"/>
    <w:tmpl w:val="D8362906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D35809"/>
    <w:multiLevelType w:val="hybridMultilevel"/>
    <w:tmpl w:val="490E34C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2"/>
  </w:num>
  <w:num w:numId="10">
    <w:abstractNumId w:val="2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C9"/>
    <w:rsid w:val="0002310F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240528"/>
    <w:rsid w:val="002768C2"/>
    <w:rsid w:val="00310838"/>
    <w:rsid w:val="00323852"/>
    <w:rsid w:val="003405BC"/>
    <w:rsid w:val="003421B8"/>
    <w:rsid w:val="00345FD3"/>
    <w:rsid w:val="00396FD2"/>
    <w:rsid w:val="003A4FC8"/>
    <w:rsid w:val="003B6452"/>
    <w:rsid w:val="003B76E5"/>
    <w:rsid w:val="003D779C"/>
    <w:rsid w:val="003E63CC"/>
    <w:rsid w:val="00454B46"/>
    <w:rsid w:val="00475B30"/>
    <w:rsid w:val="00495AB8"/>
    <w:rsid w:val="004A6C85"/>
    <w:rsid w:val="004B7399"/>
    <w:rsid w:val="004C3F8A"/>
    <w:rsid w:val="004E05F4"/>
    <w:rsid w:val="00580EA4"/>
    <w:rsid w:val="006021D0"/>
    <w:rsid w:val="00613436"/>
    <w:rsid w:val="006310CC"/>
    <w:rsid w:val="00637046"/>
    <w:rsid w:val="006623EA"/>
    <w:rsid w:val="00684C84"/>
    <w:rsid w:val="006A6942"/>
    <w:rsid w:val="006F093D"/>
    <w:rsid w:val="00733E2D"/>
    <w:rsid w:val="007641E2"/>
    <w:rsid w:val="00786654"/>
    <w:rsid w:val="007911F3"/>
    <w:rsid w:val="00797F14"/>
    <w:rsid w:val="0080474A"/>
    <w:rsid w:val="00810FC9"/>
    <w:rsid w:val="00864BE2"/>
    <w:rsid w:val="00873D19"/>
    <w:rsid w:val="008A201E"/>
    <w:rsid w:val="008A6717"/>
    <w:rsid w:val="008B2B59"/>
    <w:rsid w:val="008B786A"/>
    <w:rsid w:val="0093498D"/>
    <w:rsid w:val="00970C52"/>
    <w:rsid w:val="009B1895"/>
    <w:rsid w:val="009B4347"/>
    <w:rsid w:val="00A02E7D"/>
    <w:rsid w:val="00A64368"/>
    <w:rsid w:val="00AD630D"/>
    <w:rsid w:val="00AE44FD"/>
    <w:rsid w:val="00B00405"/>
    <w:rsid w:val="00B30FE0"/>
    <w:rsid w:val="00C508C9"/>
    <w:rsid w:val="00C818F3"/>
    <w:rsid w:val="00CB3813"/>
    <w:rsid w:val="00CE253E"/>
    <w:rsid w:val="00CF40D8"/>
    <w:rsid w:val="00D43AAC"/>
    <w:rsid w:val="00D638AA"/>
    <w:rsid w:val="00DF7D30"/>
    <w:rsid w:val="00E67E90"/>
    <w:rsid w:val="00E72A86"/>
    <w:rsid w:val="00ED5B15"/>
    <w:rsid w:val="00F014B5"/>
    <w:rsid w:val="00F34838"/>
    <w:rsid w:val="00F457D4"/>
    <w:rsid w:val="00F57A2E"/>
    <w:rsid w:val="00F620FA"/>
    <w:rsid w:val="00FA03AA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8C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508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508C9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C508C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8C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8C9"/>
    <w:rPr>
      <w:lang w:eastAsia="en-US"/>
    </w:rPr>
  </w:style>
  <w:style w:type="character" w:styleId="Znakapoznpodarou">
    <w:name w:val="footnote reference"/>
    <w:uiPriority w:val="99"/>
    <w:semiHidden/>
    <w:unhideWhenUsed/>
    <w:rsid w:val="00C508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8C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508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508C9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C508C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8C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8C9"/>
    <w:rPr>
      <w:lang w:eastAsia="en-US"/>
    </w:rPr>
  </w:style>
  <w:style w:type="character" w:styleId="Znakapoznpodarou">
    <w:name w:val="footnote reference"/>
    <w:uiPriority w:val="99"/>
    <w:semiHidden/>
    <w:unhideWhenUsed/>
    <w:rsid w:val="00C50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ul&#225;&#345;e%20u&#269;itel&#233;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0</TotalTime>
  <Pages>5</Pages>
  <Words>1656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11405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Anna</dc:creator>
  <cp:lastModifiedBy>Vojáček Jiří</cp:lastModifiedBy>
  <cp:revision>2</cp:revision>
  <cp:lastPrinted>2019-06-20T09:29:00Z</cp:lastPrinted>
  <dcterms:created xsi:type="dcterms:W3CDTF">2019-06-20T11:10:00Z</dcterms:created>
  <dcterms:modified xsi:type="dcterms:W3CDTF">2019-06-20T11:10:00Z</dcterms:modified>
</cp:coreProperties>
</file>